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43" w:rsidRDefault="00BC6343" w:rsidP="00BC6343">
      <w:pPr>
        <w:rPr>
          <w:rFonts w:eastAsia="华文中宋"/>
          <w:sz w:val="20"/>
        </w:rPr>
      </w:pPr>
      <w:r>
        <w:rPr>
          <w:rFonts w:ascii="黑体" w:eastAsia="黑体" w:hAnsi="华文中宋" w:hint="eastAsia"/>
          <w:sz w:val="32"/>
          <w:szCs w:val="32"/>
        </w:rPr>
        <w:t>附件2：</w:t>
      </w:r>
    </w:p>
    <w:p w:rsidR="00BC6343" w:rsidRDefault="00BC6343" w:rsidP="00BC6343">
      <w:pPr>
        <w:ind w:firstLineChars="200" w:firstLine="400"/>
        <w:jc w:val="left"/>
        <w:rPr>
          <w:rFonts w:eastAsia="华文中宋"/>
          <w:sz w:val="20"/>
        </w:rPr>
      </w:pPr>
      <w:r>
        <w:rPr>
          <w:rFonts w:eastAsia="华文中宋" w:hint="eastAsia"/>
          <w:sz w:val="20"/>
        </w:rPr>
        <w:t>《中国钢铁蓝皮书系列报告》：冶金工业规划研究院基于长期的市场调研和需求预测积累下的丰富经验，结合企业信息需求，有针对性的采取专业定制的方式，精心打造的行业咨询报告，并配套系列信息服务产品，以每日钢铁信息、钢铁旬报、月度报告等不同深度信息服务产品，拓展蓝皮书报告服务深度，为客户提供持续高质量的行业信息资讯和市场分析，对客户市场决策形成有效支撑。</w:t>
      </w:r>
    </w:p>
    <w:p w:rsidR="00BC6343" w:rsidRDefault="00BC6343" w:rsidP="00BC6343">
      <w:pPr>
        <w:ind w:firstLineChars="200" w:firstLine="400"/>
        <w:jc w:val="left"/>
        <w:rPr>
          <w:rFonts w:eastAsia="华文中宋" w:hint="eastAsia"/>
          <w:sz w:val="20"/>
        </w:rPr>
      </w:pPr>
      <w:r>
        <w:rPr>
          <w:rFonts w:eastAsia="华文中宋" w:hint="eastAsia"/>
          <w:sz w:val="20"/>
        </w:rPr>
        <w:t>蓝皮书报告包含系列信息服务产品，订阅客户除获得订购的纸质版年度分析报告外，还将获得：</w:t>
      </w:r>
    </w:p>
    <w:p w:rsidR="00BC6343" w:rsidRDefault="00BC6343" w:rsidP="00BC6343">
      <w:pPr>
        <w:ind w:firstLineChars="200" w:firstLine="400"/>
        <w:jc w:val="left"/>
        <w:rPr>
          <w:rFonts w:eastAsia="华文中宋" w:hint="eastAsia"/>
          <w:sz w:val="20"/>
        </w:rPr>
      </w:pPr>
      <w:r>
        <w:rPr>
          <w:rFonts w:eastAsia="华文中宋" w:hint="eastAsia"/>
          <w:sz w:val="20"/>
        </w:rPr>
        <w:t>1.  2015</w:t>
      </w:r>
      <w:r>
        <w:rPr>
          <w:rFonts w:eastAsia="华文中宋" w:hint="eastAsia"/>
          <w:sz w:val="20"/>
        </w:rPr>
        <w:t>年月度报告电子版，共</w:t>
      </w:r>
      <w:r>
        <w:rPr>
          <w:rFonts w:eastAsia="华文中宋" w:hint="eastAsia"/>
          <w:sz w:val="20"/>
        </w:rPr>
        <w:t>12</w:t>
      </w:r>
      <w:r>
        <w:rPr>
          <w:rFonts w:eastAsia="华文中宋" w:hint="eastAsia"/>
          <w:sz w:val="20"/>
        </w:rPr>
        <w:t>期；涵盖全行业生产运营情况分析、原燃料市场情况分析、钢材市场运行情况分析、下游需求情况变化分析等多方面内容。</w:t>
      </w:r>
    </w:p>
    <w:p w:rsidR="00BC6343" w:rsidRDefault="00BC6343" w:rsidP="00BC6343">
      <w:pPr>
        <w:ind w:firstLineChars="200" w:firstLine="400"/>
        <w:jc w:val="left"/>
        <w:rPr>
          <w:rFonts w:eastAsia="华文中宋" w:hint="eastAsia"/>
          <w:sz w:val="20"/>
        </w:rPr>
      </w:pPr>
      <w:r>
        <w:rPr>
          <w:rFonts w:eastAsia="华文中宋" w:hint="eastAsia"/>
          <w:sz w:val="20"/>
        </w:rPr>
        <w:t>2.  2015</w:t>
      </w:r>
      <w:r>
        <w:rPr>
          <w:rFonts w:eastAsia="华文中宋" w:hint="eastAsia"/>
          <w:sz w:val="20"/>
        </w:rPr>
        <w:t>年每日钢铁要闻，汇集行业信息，针对热点事件及时点评分析，帮助企业掌握市场动态。</w:t>
      </w:r>
    </w:p>
    <w:p w:rsidR="00BC6343" w:rsidRDefault="00BC6343" w:rsidP="00BC6343">
      <w:pPr>
        <w:ind w:firstLineChars="200" w:firstLine="400"/>
        <w:jc w:val="left"/>
        <w:rPr>
          <w:rFonts w:eastAsia="华文中宋"/>
          <w:sz w:val="20"/>
        </w:rPr>
      </w:pPr>
      <w:r>
        <w:rPr>
          <w:rFonts w:eastAsia="华文中宋" w:hint="eastAsia"/>
          <w:sz w:val="20"/>
        </w:rPr>
        <w:t>3.  2015</w:t>
      </w:r>
      <w:r>
        <w:rPr>
          <w:rFonts w:eastAsia="华文中宋" w:hint="eastAsia"/>
          <w:sz w:val="20"/>
        </w:rPr>
        <w:t>钢铁行业观察，不定期针对行业热点事件、重要课题进行深度分析研究。</w:t>
      </w:r>
    </w:p>
    <w:tbl>
      <w:tblPr>
        <w:tblW w:w="0" w:type="auto"/>
        <w:tblLayout w:type="fixed"/>
        <w:tblLook w:val="0000"/>
      </w:tblPr>
      <w:tblGrid>
        <w:gridCol w:w="4361"/>
        <w:gridCol w:w="142"/>
        <w:gridCol w:w="2409"/>
        <w:gridCol w:w="2410"/>
      </w:tblGrid>
      <w:tr w:rsidR="00BC6343" w:rsidTr="00303764">
        <w:trPr>
          <w:trHeight w:val="4729"/>
        </w:trPr>
        <w:tc>
          <w:tcPr>
            <w:tcW w:w="4361" w:type="dxa"/>
            <w:tcBorders>
              <w:bottom w:val="single" w:sz="4" w:space="0" w:color="auto"/>
            </w:tcBorders>
          </w:tcPr>
          <w:p w:rsidR="00BC6343" w:rsidRDefault="00BC6343" w:rsidP="00303764">
            <w:pPr>
              <w:snapToGrid w:val="0"/>
              <w:spacing w:line="320" w:lineRule="exact"/>
              <w:rPr>
                <w:rFonts w:eastAsia="华文中宋"/>
                <w:sz w:val="20"/>
              </w:rPr>
            </w:pPr>
            <w:r>
              <w:rPr>
                <w:rFonts w:eastAsia="华文中宋" w:hint="eastAsia"/>
                <w:sz w:val="20"/>
              </w:rPr>
              <w:t>报告内容：</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行业外部宏观经济环境变化情况分析。</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主要钢铁产品生产情况分析。</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国际及进出口市场变化情况。</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关联产业发展态势及需求变化情况分析。</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钢铁行业主要产品产销变化情况分析。</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主要钢材产品价格变化情况分析。</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钢铁行业主要经济指标变化情况分析。</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钢铁行业整体竞争力变化情况分析。</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钢铁行业集中度变化情况监测。</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钢铁产能装备变化情况分析。</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钢铁行业节能减</w:t>
            </w:r>
            <w:proofErr w:type="gramStart"/>
            <w:r>
              <w:rPr>
                <w:rFonts w:eastAsia="华文中宋" w:hint="eastAsia"/>
                <w:sz w:val="20"/>
              </w:rPr>
              <w:t>排推进</w:t>
            </w:r>
            <w:proofErr w:type="gramEnd"/>
            <w:r>
              <w:rPr>
                <w:rFonts w:eastAsia="华文中宋" w:hint="eastAsia"/>
                <w:sz w:val="20"/>
              </w:rPr>
              <w:t>情况分析。</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原材料保障水平及原材料价格变化情况。</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钢铁行业发展外部支撑条件变化情况。</w:t>
            </w:r>
          </w:p>
          <w:p w:rsidR="00BC6343" w:rsidRDefault="00BC6343" w:rsidP="00303764">
            <w:pPr>
              <w:pStyle w:val="ListParagraph"/>
              <w:numPr>
                <w:ilvl w:val="0"/>
                <w:numId w:val="1"/>
              </w:numPr>
              <w:snapToGrid w:val="0"/>
              <w:spacing w:line="300" w:lineRule="exact"/>
              <w:ind w:firstLineChars="0"/>
              <w:rPr>
                <w:rFonts w:eastAsia="华文中宋"/>
                <w:sz w:val="20"/>
              </w:rPr>
            </w:pPr>
            <w:r>
              <w:rPr>
                <w:rFonts w:eastAsia="华文中宋" w:hint="eastAsia"/>
                <w:sz w:val="20"/>
              </w:rPr>
              <w:t>钢铁行业未来发展态势预测。</w:t>
            </w:r>
          </w:p>
        </w:tc>
        <w:tc>
          <w:tcPr>
            <w:tcW w:w="4961" w:type="dxa"/>
            <w:gridSpan w:val="3"/>
            <w:tcBorders>
              <w:bottom w:val="single" w:sz="4" w:space="0" w:color="auto"/>
            </w:tcBorders>
          </w:tcPr>
          <w:p w:rsidR="00BC6343" w:rsidRDefault="00BC6343" w:rsidP="00303764">
            <w:pPr>
              <w:snapToGrid w:val="0"/>
              <w:spacing w:line="320" w:lineRule="exact"/>
              <w:jc w:val="left"/>
              <w:rPr>
                <w:rFonts w:eastAsia="华文中宋"/>
                <w:sz w:val="20"/>
              </w:rPr>
            </w:pPr>
            <w:r>
              <w:rPr>
                <w:rFonts w:eastAsia="华文中宋" w:hint="eastAsia"/>
                <w:sz w:val="20"/>
              </w:rPr>
              <w:t>报告价值：</w:t>
            </w:r>
          </w:p>
          <w:p w:rsidR="00BC6343" w:rsidRDefault="00BC6343" w:rsidP="00303764">
            <w:pPr>
              <w:pStyle w:val="ListParagraph"/>
              <w:snapToGrid w:val="0"/>
              <w:spacing w:line="380" w:lineRule="exact"/>
              <w:ind w:firstLineChars="0" w:firstLine="0"/>
              <w:rPr>
                <w:rFonts w:eastAsia="华文中宋"/>
                <w:sz w:val="20"/>
              </w:rPr>
            </w:pPr>
            <w:r>
              <w:rPr>
                <w:rFonts w:eastAsia="仿宋_GB2312"/>
                <w:sz w:val="24"/>
                <w:szCs w:val="24"/>
              </w:rPr>
              <w:t>●</w:t>
            </w:r>
            <w:r>
              <w:rPr>
                <w:rFonts w:eastAsia="仿宋_GB2312" w:hint="eastAsia"/>
                <w:sz w:val="20"/>
              </w:rPr>
              <w:t xml:space="preserve"> </w:t>
            </w:r>
            <w:r>
              <w:rPr>
                <w:rFonts w:eastAsia="华文中宋" w:hint="eastAsia"/>
                <w:sz w:val="20"/>
              </w:rPr>
              <w:t>准确把握当前行业发展形势，明确企业发展方向。</w:t>
            </w:r>
          </w:p>
          <w:p w:rsidR="00BC6343" w:rsidRDefault="00BC6343" w:rsidP="00303764">
            <w:pPr>
              <w:pStyle w:val="ListParagraph"/>
              <w:snapToGrid w:val="0"/>
              <w:spacing w:line="380" w:lineRule="exact"/>
              <w:ind w:firstLineChars="0" w:firstLine="0"/>
              <w:rPr>
                <w:rFonts w:eastAsia="华文中宋"/>
                <w:sz w:val="20"/>
              </w:rPr>
            </w:pPr>
            <w:r>
              <w:rPr>
                <w:rFonts w:eastAsia="仿宋_GB2312"/>
                <w:sz w:val="24"/>
                <w:szCs w:val="24"/>
              </w:rPr>
              <w:t>●</w:t>
            </w:r>
            <w:r>
              <w:rPr>
                <w:rFonts w:eastAsia="仿宋_GB2312" w:hint="eastAsia"/>
                <w:sz w:val="20"/>
              </w:rPr>
              <w:t xml:space="preserve"> </w:t>
            </w:r>
            <w:r>
              <w:rPr>
                <w:rFonts w:eastAsia="华文中宋" w:hint="eastAsia"/>
                <w:sz w:val="20"/>
              </w:rPr>
              <w:t>把握行业发展脉动，引导企业认清市场变化。</w:t>
            </w:r>
          </w:p>
          <w:p w:rsidR="00BC6343" w:rsidRDefault="00BC6343" w:rsidP="00303764">
            <w:pPr>
              <w:pStyle w:val="ListParagraph"/>
              <w:snapToGrid w:val="0"/>
              <w:spacing w:line="380" w:lineRule="exact"/>
              <w:ind w:firstLineChars="0" w:firstLine="0"/>
              <w:rPr>
                <w:rFonts w:eastAsia="华文中宋"/>
                <w:sz w:val="20"/>
              </w:rPr>
            </w:pPr>
            <w:r>
              <w:rPr>
                <w:rFonts w:eastAsia="仿宋_GB2312"/>
                <w:sz w:val="24"/>
                <w:szCs w:val="24"/>
              </w:rPr>
              <w:t>●</w:t>
            </w:r>
            <w:r>
              <w:rPr>
                <w:rFonts w:eastAsia="仿宋_GB2312" w:hint="eastAsia"/>
                <w:sz w:val="20"/>
              </w:rPr>
              <w:t xml:space="preserve"> </w:t>
            </w:r>
            <w:r>
              <w:rPr>
                <w:rFonts w:eastAsia="华文中宋" w:hint="eastAsia"/>
                <w:sz w:val="20"/>
              </w:rPr>
              <w:t>把握行业政策取向，使企业规避政策风险。</w:t>
            </w:r>
          </w:p>
          <w:p w:rsidR="00BC6343" w:rsidRDefault="00BC6343" w:rsidP="00303764">
            <w:pPr>
              <w:pStyle w:val="ListParagraph"/>
              <w:snapToGrid w:val="0"/>
              <w:spacing w:line="380" w:lineRule="exact"/>
              <w:ind w:firstLineChars="0" w:firstLine="0"/>
              <w:rPr>
                <w:rFonts w:eastAsia="华文中宋"/>
                <w:sz w:val="20"/>
              </w:rPr>
            </w:pPr>
            <w:r>
              <w:rPr>
                <w:rFonts w:eastAsia="仿宋_GB2312"/>
                <w:sz w:val="24"/>
                <w:szCs w:val="24"/>
              </w:rPr>
              <w:t>●</w:t>
            </w:r>
            <w:r>
              <w:rPr>
                <w:rFonts w:eastAsia="仿宋_GB2312" w:hint="eastAsia"/>
                <w:sz w:val="20"/>
              </w:rPr>
              <w:t xml:space="preserve"> </w:t>
            </w:r>
            <w:r>
              <w:rPr>
                <w:rFonts w:eastAsia="华文中宋" w:hint="eastAsia"/>
                <w:sz w:val="20"/>
              </w:rPr>
              <w:t>掌握行业竞争力变化情况，明确企业自身定位。</w:t>
            </w:r>
          </w:p>
          <w:p w:rsidR="00BC6343" w:rsidRDefault="00BC6343" w:rsidP="00303764">
            <w:pPr>
              <w:pStyle w:val="ListParagraph"/>
              <w:snapToGrid w:val="0"/>
              <w:spacing w:line="380" w:lineRule="exact"/>
              <w:ind w:firstLineChars="0" w:firstLine="0"/>
              <w:rPr>
                <w:rFonts w:eastAsia="华文中宋"/>
                <w:sz w:val="20"/>
              </w:rPr>
            </w:pPr>
            <w:r>
              <w:rPr>
                <w:rFonts w:eastAsia="仿宋_GB2312"/>
                <w:sz w:val="24"/>
                <w:szCs w:val="24"/>
              </w:rPr>
              <w:t>●</w:t>
            </w:r>
            <w:r>
              <w:rPr>
                <w:rFonts w:eastAsia="仿宋_GB2312" w:hint="eastAsia"/>
                <w:sz w:val="20"/>
              </w:rPr>
              <w:t xml:space="preserve"> </w:t>
            </w:r>
            <w:r>
              <w:rPr>
                <w:rFonts w:eastAsia="华文中宋" w:hint="eastAsia"/>
                <w:sz w:val="20"/>
              </w:rPr>
              <w:t>跟踪原材料价格变化情况，明确企业成本竞争力。</w:t>
            </w:r>
          </w:p>
          <w:p w:rsidR="00BC6343" w:rsidRDefault="00BC6343" w:rsidP="00303764">
            <w:pPr>
              <w:pStyle w:val="ListParagraph"/>
              <w:snapToGrid w:val="0"/>
              <w:spacing w:line="380" w:lineRule="exact"/>
              <w:ind w:firstLineChars="0" w:firstLine="0"/>
              <w:rPr>
                <w:rFonts w:eastAsia="华文中宋"/>
                <w:sz w:val="20"/>
              </w:rPr>
            </w:pPr>
            <w:r>
              <w:rPr>
                <w:rFonts w:eastAsia="仿宋_GB2312"/>
                <w:sz w:val="24"/>
                <w:szCs w:val="24"/>
              </w:rPr>
              <w:t>●</w:t>
            </w:r>
            <w:r>
              <w:rPr>
                <w:rFonts w:eastAsia="仿宋_GB2312" w:hint="eastAsia"/>
                <w:sz w:val="20"/>
              </w:rPr>
              <w:t xml:space="preserve"> </w:t>
            </w:r>
            <w:r>
              <w:rPr>
                <w:rFonts w:eastAsia="华文中宋" w:hint="eastAsia"/>
                <w:sz w:val="20"/>
              </w:rPr>
              <w:t>了解国际市场需求变化，推动企业国际化发展步伐。</w:t>
            </w:r>
          </w:p>
          <w:p w:rsidR="00BC6343" w:rsidRDefault="00BC6343" w:rsidP="00303764">
            <w:pPr>
              <w:pStyle w:val="ListParagraph"/>
              <w:snapToGrid w:val="0"/>
              <w:spacing w:line="380" w:lineRule="exact"/>
              <w:ind w:firstLineChars="0" w:firstLine="0"/>
              <w:rPr>
                <w:rFonts w:eastAsia="华文中宋"/>
                <w:sz w:val="20"/>
              </w:rPr>
            </w:pPr>
            <w:r>
              <w:rPr>
                <w:rFonts w:eastAsia="仿宋_GB2312"/>
                <w:sz w:val="24"/>
                <w:szCs w:val="24"/>
              </w:rPr>
              <w:t>●</w:t>
            </w:r>
            <w:r>
              <w:rPr>
                <w:rFonts w:eastAsia="仿宋_GB2312" w:hint="eastAsia"/>
                <w:sz w:val="20"/>
              </w:rPr>
              <w:t xml:space="preserve"> </w:t>
            </w:r>
            <w:r>
              <w:rPr>
                <w:rFonts w:eastAsia="华文中宋" w:hint="eastAsia"/>
                <w:sz w:val="20"/>
              </w:rPr>
              <w:t>在并购与整合中把握关键节点，使企业掌握主动权。</w:t>
            </w:r>
          </w:p>
          <w:p w:rsidR="00BC6343" w:rsidRDefault="00BC6343" w:rsidP="00303764">
            <w:pPr>
              <w:pStyle w:val="ListParagraph"/>
              <w:snapToGrid w:val="0"/>
              <w:spacing w:line="380" w:lineRule="exact"/>
              <w:ind w:firstLineChars="0" w:firstLine="0"/>
              <w:rPr>
                <w:rFonts w:eastAsia="华文中宋"/>
                <w:sz w:val="20"/>
              </w:rPr>
            </w:pPr>
            <w:r>
              <w:rPr>
                <w:rFonts w:eastAsia="仿宋_GB2312"/>
                <w:sz w:val="24"/>
                <w:szCs w:val="24"/>
              </w:rPr>
              <w:t>●</w:t>
            </w:r>
            <w:r>
              <w:rPr>
                <w:rFonts w:eastAsia="仿宋_GB2312" w:hint="eastAsia"/>
                <w:sz w:val="20"/>
              </w:rPr>
              <w:t xml:space="preserve"> </w:t>
            </w:r>
            <w:r>
              <w:rPr>
                <w:rFonts w:eastAsia="华文中宋" w:hint="eastAsia"/>
                <w:sz w:val="20"/>
              </w:rPr>
              <w:t>准确把握行业预警点、机会点、增长点和赢利点。</w:t>
            </w:r>
          </w:p>
          <w:p w:rsidR="00BC6343" w:rsidRDefault="00BC6343" w:rsidP="00303764">
            <w:pPr>
              <w:snapToGrid w:val="0"/>
              <w:spacing w:line="380" w:lineRule="exact"/>
              <w:ind w:firstLineChars="200" w:firstLine="400"/>
              <w:jc w:val="left"/>
              <w:rPr>
                <w:rFonts w:eastAsia="华文中宋"/>
                <w:sz w:val="20"/>
              </w:rPr>
            </w:pPr>
            <w:r>
              <w:rPr>
                <w:rFonts w:eastAsia="华文中宋" w:hint="eastAsia"/>
                <w:sz w:val="20"/>
              </w:rPr>
              <w:t>中国钢铁蓝皮书报告力求以全面、准确、客观、深度的内容分析，助力企业掌握市场先机，前瞻性地把握行业发展趋势，占据行业制高点，使企业不断取得成功。</w:t>
            </w:r>
          </w:p>
        </w:tc>
      </w:tr>
      <w:tr w:rsidR="00BC6343" w:rsidTr="003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503" w:type="dxa"/>
            <w:gridSpan w:val="2"/>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报告名称</w:t>
            </w:r>
          </w:p>
        </w:tc>
        <w:tc>
          <w:tcPr>
            <w:tcW w:w="2409"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价格</w:t>
            </w:r>
          </w:p>
        </w:tc>
        <w:tc>
          <w:tcPr>
            <w:tcW w:w="2410"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订阅数</w:t>
            </w:r>
          </w:p>
        </w:tc>
      </w:tr>
      <w:tr w:rsidR="00BC6343" w:rsidTr="003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503" w:type="dxa"/>
            <w:gridSpan w:val="2"/>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w:t>
            </w:r>
            <w:r>
              <w:rPr>
                <w:rFonts w:eastAsia="华文中宋" w:hint="eastAsia"/>
                <w:sz w:val="20"/>
              </w:rPr>
              <w:t>2015</w:t>
            </w:r>
            <w:r>
              <w:rPr>
                <w:rFonts w:eastAsia="华文中宋" w:hint="eastAsia"/>
                <w:sz w:val="20"/>
              </w:rPr>
              <w:t>中国钢铁市场分析与预测》年度报告</w:t>
            </w:r>
          </w:p>
        </w:tc>
        <w:tc>
          <w:tcPr>
            <w:tcW w:w="2409"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9800</w:t>
            </w:r>
          </w:p>
        </w:tc>
        <w:tc>
          <w:tcPr>
            <w:tcW w:w="2410"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p>
        </w:tc>
      </w:tr>
      <w:tr w:rsidR="00BC6343" w:rsidTr="003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503" w:type="dxa"/>
            <w:gridSpan w:val="2"/>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w:t>
            </w:r>
            <w:r>
              <w:rPr>
                <w:rFonts w:eastAsia="华文中宋" w:hint="eastAsia"/>
                <w:sz w:val="20"/>
              </w:rPr>
              <w:t>2015</w:t>
            </w:r>
            <w:r>
              <w:rPr>
                <w:rFonts w:eastAsia="华文中宋" w:hint="eastAsia"/>
                <w:sz w:val="20"/>
              </w:rPr>
              <w:t>中国钢铁市场分析与预测》季度报告</w:t>
            </w:r>
          </w:p>
        </w:tc>
        <w:tc>
          <w:tcPr>
            <w:tcW w:w="2409"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6000</w:t>
            </w:r>
          </w:p>
        </w:tc>
        <w:tc>
          <w:tcPr>
            <w:tcW w:w="2410"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p>
        </w:tc>
      </w:tr>
      <w:tr w:rsidR="00BC6343" w:rsidTr="003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503" w:type="dxa"/>
            <w:gridSpan w:val="2"/>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w:t>
            </w:r>
            <w:r>
              <w:rPr>
                <w:rFonts w:eastAsia="华文中宋" w:hint="eastAsia"/>
                <w:sz w:val="20"/>
              </w:rPr>
              <w:t>2015</w:t>
            </w:r>
            <w:r>
              <w:rPr>
                <w:rFonts w:eastAsia="华文中宋" w:hint="eastAsia"/>
                <w:sz w:val="20"/>
              </w:rPr>
              <w:t>主要板材产品市场分析报告》</w:t>
            </w:r>
          </w:p>
        </w:tc>
        <w:tc>
          <w:tcPr>
            <w:tcW w:w="2409"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5000</w:t>
            </w:r>
          </w:p>
        </w:tc>
        <w:tc>
          <w:tcPr>
            <w:tcW w:w="2410"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p>
        </w:tc>
      </w:tr>
      <w:tr w:rsidR="00BC6343" w:rsidTr="003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503" w:type="dxa"/>
            <w:gridSpan w:val="2"/>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w:t>
            </w:r>
            <w:r>
              <w:rPr>
                <w:rFonts w:eastAsia="华文中宋" w:hint="eastAsia"/>
                <w:sz w:val="20"/>
              </w:rPr>
              <w:t>2015</w:t>
            </w:r>
            <w:r>
              <w:rPr>
                <w:rFonts w:eastAsia="华文中宋" w:hint="eastAsia"/>
                <w:sz w:val="20"/>
              </w:rPr>
              <w:t>主要长材产品市场分析报告》</w:t>
            </w:r>
          </w:p>
        </w:tc>
        <w:tc>
          <w:tcPr>
            <w:tcW w:w="2409"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5000</w:t>
            </w:r>
          </w:p>
        </w:tc>
        <w:tc>
          <w:tcPr>
            <w:tcW w:w="2410"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p>
        </w:tc>
      </w:tr>
      <w:tr w:rsidR="00BC6343" w:rsidTr="003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503" w:type="dxa"/>
            <w:gridSpan w:val="2"/>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w:t>
            </w:r>
            <w:r>
              <w:rPr>
                <w:rFonts w:eastAsia="华文中宋" w:hint="eastAsia"/>
                <w:sz w:val="20"/>
              </w:rPr>
              <w:t>2015</w:t>
            </w:r>
            <w:r>
              <w:rPr>
                <w:rFonts w:eastAsia="华文中宋" w:hint="eastAsia"/>
                <w:sz w:val="20"/>
              </w:rPr>
              <w:t>主要管材产品市场分析报告》</w:t>
            </w:r>
          </w:p>
        </w:tc>
        <w:tc>
          <w:tcPr>
            <w:tcW w:w="2409"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4000</w:t>
            </w:r>
          </w:p>
        </w:tc>
        <w:tc>
          <w:tcPr>
            <w:tcW w:w="2410"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p>
        </w:tc>
      </w:tr>
      <w:tr w:rsidR="00BC6343" w:rsidTr="003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503" w:type="dxa"/>
            <w:gridSpan w:val="2"/>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w:t>
            </w:r>
            <w:r>
              <w:rPr>
                <w:rFonts w:eastAsia="华文中宋" w:hint="eastAsia"/>
                <w:sz w:val="20"/>
              </w:rPr>
              <w:t>2015</w:t>
            </w:r>
            <w:r>
              <w:rPr>
                <w:rFonts w:eastAsia="华文中宋" w:hint="eastAsia"/>
                <w:sz w:val="20"/>
              </w:rPr>
              <w:t>中国铁矿、锰矿、铬矿资源分析报告》</w:t>
            </w:r>
          </w:p>
        </w:tc>
        <w:tc>
          <w:tcPr>
            <w:tcW w:w="2409"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5000</w:t>
            </w:r>
          </w:p>
        </w:tc>
        <w:tc>
          <w:tcPr>
            <w:tcW w:w="2410"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p>
        </w:tc>
      </w:tr>
      <w:tr w:rsidR="00BC6343" w:rsidTr="003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503" w:type="dxa"/>
            <w:gridSpan w:val="2"/>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w:t>
            </w:r>
            <w:r>
              <w:rPr>
                <w:rFonts w:eastAsia="华文中宋" w:hint="eastAsia"/>
                <w:sz w:val="20"/>
              </w:rPr>
              <w:t>2015</w:t>
            </w:r>
            <w:r>
              <w:rPr>
                <w:rFonts w:eastAsia="华文中宋" w:hint="eastAsia"/>
                <w:sz w:val="20"/>
              </w:rPr>
              <w:t>中国焦炭市场分析报告》</w:t>
            </w:r>
          </w:p>
        </w:tc>
        <w:tc>
          <w:tcPr>
            <w:tcW w:w="2409"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4000</w:t>
            </w:r>
          </w:p>
        </w:tc>
        <w:tc>
          <w:tcPr>
            <w:tcW w:w="2410"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p>
        </w:tc>
      </w:tr>
      <w:tr w:rsidR="00BC6343" w:rsidTr="003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503" w:type="dxa"/>
            <w:gridSpan w:val="2"/>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w:t>
            </w:r>
            <w:r>
              <w:rPr>
                <w:rFonts w:eastAsia="华文中宋" w:hint="eastAsia"/>
                <w:sz w:val="20"/>
              </w:rPr>
              <w:t>2015</w:t>
            </w:r>
            <w:r>
              <w:rPr>
                <w:rFonts w:eastAsia="华文中宋" w:hint="eastAsia"/>
                <w:sz w:val="20"/>
              </w:rPr>
              <w:t>中国铁合金市场分析报告》</w:t>
            </w:r>
          </w:p>
        </w:tc>
        <w:tc>
          <w:tcPr>
            <w:tcW w:w="2409"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4000</w:t>
            </w:r>
          </w:p>
        </w:tc>
        <w:tc>
          <w:tcPr>
            <w:tcW w:w="2410"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p>
        </w:tc>
      </w:tr>
      <w:tr w:rsidR="00BC6343" w:rsidTr="00303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503" w:type="dxa"/>
            <w:gridSpan w:val="2"/>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w:t>
            </w:r>
            <w:r>
              <w:rPr>
                <w:rFonts w:eastAsia="华文中宋" w:hint="eastAsia"/>
                <w:sz w:val="20"/>
              </w:rPr>
              <w:t>2015</w:t>
            </w:r>
            <w:r>
              <w:rPr>
                <w:rFonts w:eastAsia="华文中宋" w:hint="eastAsia"/>
                <w:sz w:val="20"/>
              </w:rPr>
              <w:t>中国废钢市场分析报告》</w:t>
            </w:r>
          </w:p>
        </w:tc>
        <w:tc>
          <w:tcPr>
            <w:tcW w:w="2409"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r>
              <w:rPr>
                <w:rFonts w:eastAsia="华文中宋" w:hint="eastAsia"/>
                <w:sz w:val="20"/>
              </w:rPr>
              <w:t>4000</w:t>
            </w:r>
          </w:p>
        </w:tc>
        <w:tc>
          <w:tcPr>
            <w:tcW w:w="2410" w:type="dxa"/>
            <w:tcBorders>
              <w:top w:val="single" w:sz="4" w:space="0" w:color="auto"/>
              <w:left w:val="single" w:sz="4" w:space="0" w:color="auto"/>
              <w:bottom w:val="single" w:sz="4" w:space="0" w:color="auto"/>
              <w:right w:val="single" w:sz="4" w:space="0" w:color="auto"/>
            </w:tcBorders>
            <w:vAlign w:val="center"/>
          </w:tcPr>
          <w:p w:rsidR="00BC6343" w:rsidRDefault="00BC6343" w:rsidP="00303764">
            <w:pPr>
              <w:snapToGrid w:val="0"/>
              <w:jc w:val="center"/>
              <w:rPr>
                <w:rFonts w:eastAsia="华文中宋"/>
                <w:sz w:val="20"/>
              </w:rPr>
            </w:pPr>
          </w:p>
        </w:tc>
      </w:tr>
    </w:tbl>
    <w:p w:rsidR="00BC6343" w:rsidRDefault="00BC6343" w:rsidP="00BC6343">
      <w:pPr>
        <w:rPr>
          <w:rFonts w:eastAsia="华文中宋"/>
          <w:sz w:val="20"/>
          <w:u w:val="single"/>
        </w:rPr>
      </w:pPr>
      <w:r>
        <w:rPr>
          <w:rFonts w:eastAsia="华文中宋" w:hint="eastAsia"/>
          <w:sz w:val="20"/>
        </w:rPr>
        <w:t>公司名称订阅报告及份数</w:t>
      </w:r>
      <w:r>
        <w:rPr>
          <w:rFonts w:eastAsia="华文中宋" w:hint="eastAsia"/>
          <w:sz w:val="20"/>
        </w:rPr>
        <w:t xml:space="preserve">                         </w:t>
      </w:r>
      <w:r>
        <w:rPr>
          <w:rFonts w:eastAsia="华文中宋" w:hint="eastAsia"/>
          <w:sz w:val="20"/>
        </w:rPr>
        <w:t>联系人姓名职务电话手机邮箱</w:t>
      </w:r>
    </w:p>
    <w:p w:rsidR="00BC6343" w:rsidRDefault="00BC6343" w:rsidP="00BC6343">
      <w:pPr>
        <w:rPr>
          <w:rFonts w:eastAsia="华文中宋"/>
          <w:sz w:val="24"/>
        </w:rPr>
      </w:pPr>
      <w:r>
        <w:rPr>
          <w:rFonts w:eastAsia="华文中宋" w:hint="eastAsia"/>
          <w:sz w:val="20"/>
        </w:rPr>
        <w:t>详细地址邮编</w:t>
      </w:r>
      <w:r>
        <w:rPr>
          <w:rFonts w:eastAsia="华文中宋" w:hint="eastAsia"/>
          <w:sz w:val="20"/>
        </w:rPr>
        <w:t xml:space="preserve">                                   </w:t>
      </w:r>
      <w:r>
        <w:rPr>
          <w:rFonts w:eastAsia="华文中宋" w:hint="eastAsia"/>
          <w:sz w:val="20"/>
        </w:rPr>
        <w:t>付款金额填表日期开具发票抬头</w:t>
      </w:r>
    </w:p>
    <w:p w:rsidR="00380D40" w:rsidRPr="00BC6343" w:rsidRDefault="00380D40"/>
    <w:sectPr w:rsidR="00380D40" w:rsidRPr="00BC6343" w:rsidSect="00380D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716E0"/>
    <w:multiLevelType w:val="multilevel"/>
    <w:tmpl w:val="591716E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6343"/>
    <w:rsid w:val="00380D40"/>
    <w:rsid w:val="00BC63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4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BC634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2015-01-13T06:12:00Z</dcterms:created>
  <dcterms:modified xsi:type="dcterms:W3CDTF">2015-01-13T06:13:00Z</dcterms:modified>
</cp:coreProperties>
</file>